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77777777" w:rsidR="009A7D29" w:rsidRDefault="009A7D29">
      <w:pPr>
        <w:spacing w:line="100" w:lineRule="atLeast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0B4C1286" w:rsidR="009A7D29" w:rsidRDefault="003C6F48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A7D29">
        <w:rPr>
          <w:rFonts w:ascii="Corbel" w:hAnsi="Corbel"/>
          <w:b/>
          <w:smallCaps/>
          <w:sz w:val="24"/>
          <w:szCs w:val="24"/>
        </w:rPr>
        <w:t xml:space="preserve"> </w:t>
      </w:r>
      <w:r w:rsidR="004233DD" w:rsidRPr="004233DD">
        <w:rPr>
          <w:rFonts w:ascii="Corbel" w:hAnsi="Corbel"/>
          <w:b/>
          <w:smallCaps/>
          <w:sz w:val="24"/>
          <w:szCs w:val="24"/>
        </w:rPr>
        <w:t>202</w:t>
      </w:r>
      <w:r w:rsidR="00D5158C">
        <w:rPr>
          <w:rFonts w:ascii="Corbel" w:hAnsi="Corbel"/>
          <w:b/>
          <w:smallCaps/>
          <w:sz w:val="24"/>
          <w:szCs w:val="24"/>
        </w:rPr>
        <w:t>3</w:t>
      </w:r>
      <w:r w:rsidR="004233DD" w:rsidRPr="004233DD">
        <w:rPr>
          <w:rFonts w:ascii="Corbel" w:hAnsi="Corbel"/>
          <w:b/>
          <w:smallCaps/>
          <w:sz w:val="24"/>
          <w:szCs w:val="24"/>
        </w:rPr>
        <w:t>/202</w:t>
      </w:r>
      <w:r w:rsidR="00D5158C">
        <w:rPr>
          <w:rFonts w:ascii="Corbel" w:hAnsi="Corbel"/>
          <w:b/>
          <w:smallCaps/>
          <w:sz w:val="24"/>
          <w:szCs w:val="24"/>
        </w:rPr>
        <w:t>4</w:t>
      </w:r>
      <w:r w:rsidR="004233DD" w:rsidRPr="004233DD">
        <w:rPr>
          <w:rFonts w:ascii="Corbel" w:hAnsi="Corbel"/>
          <w:b/>
          <w:smallCaps/>
          <w:sz w:val="24"/>
          <w:szCs w:val="24"/>
        </w:rPr>
        <w:t xml:space="preserve"> – 202</w:t>
      </w:r>
      <w:r w:rsidR="00D5158C">
        <w:rPr>
          <w:rFonts w:ascii="Corbel" w:hAnsi="Corbel"/>
          <w:b/>
          <w:smallCaps/>
          <w:sz w:val="24"/>
          <w:szCs w:val="24"/>
        </w:rPr>
        <w:t>5</w:t>
      </w:r>
      <w:r w:rsidR="004233DD" w:rsidRPr="004233DD">
        <w:rPr>
          <w:rFonts w:ascii="Corbel" w:hAnsi="Corbel"/>
          <w:b/>
          <w:smallCaps/>
          <w:sz w:val="24"/>
          <w:szCs w:val="24"/>
        </w:rPr>
        <w:t>/202</w:t>
      </w:r>
      <w:r w:rsidR="00D5158C">
        <w:rPr>
          <w:rFonts w:ascii="Corbel" w:hAnsi="Corbel"/>
          <w:b/>
          <w:smallCaps/>
          <w:sz w:val="24"/>
          <w:szCs w:val="24"/>
        </w:rPr>
        <w:t>6</w:t>
      </w:r>
    </w:p>
    <w:p w14:paraId="24E8696B" w14:textId="1D564CB4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B4971E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B4971E2">
        <w:rPr>
          <w:rFonts w:ascii="Corbel" w:hAnsi="Corbel"/>
          <w:i/>
          <w:iCs/>
          <w:sz w:val="20"/>
          <w:szCs w:val="20"/>
        </w:rPr>
        <w:t>(skrajne daty</w:t>
      </w:r>
      <w:r w:rsidRPr="6B4971E2">
        <w:rPr>
          <w:rFonts w:ascii="Corbel" w:hAnsi="Corbel"/>
          <w:sz w:val="20"/>
          <w:szCs w:val="20"/>
        </w:rPr>
        <w:t>)</w:t>
      </w:r>
    </w:p>
    <w:p w14:paraId="39DE5D2F" w14:textId="05D02B95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D5158C">
        <w:rPr>
          <w:rFonts w:ascii="Corbel" w:hAnsi="Corbel"/>
          <w:sz w:val="20"/>
          <w:szCs w:val="20"/>
        </w:rPr>
        <w:t>5</w:t>
      </w:r>
      <w:r w:rsidR="003C6F48">
        <w:rPr>
          <w:rFonts w:ascii="Corbel" w:hAnsi="Corbel"/>
          <w:sz w:val="20"/>
          <w:szCs w:val="20"/>
        </w:rPr>
        <w:t>/202</w:t>
      </w:r>
      <w:r w:rsidR="00D5158C">
        <w:rPr>
          <w:rFonts w:ascii="Corbel" w:hAnsi="Corbel"/>
          <w:sz w:val="20"/>
          <w:szCs w:val="20"/>
        </w:rPr>
        <w:t>6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A4402D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E464EE" w14:textId="77777777" w:rsidR="009A7D29" w:rsidRDefault="009D3974" w:rsidP="6B4971E2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6B4971E2">
              <w:rPr>
                <w:rFonts w:ascii="Corbel" w:hAnsi="Corbel"/>
                <w:bCs/>
                <w:sz w:val="24"/>
                <w:szCs w:val="24"/>
              </w:rPr>
              <w:t xml:space="preserve">Opieka dyplomatyczna i ochrona konsularna </w:t>
            </w:r>
            <w:r w:rsidR="00EE7247" w:rsidRPr="6B4971E2">
              <w:rPr>
                <w:rFonts w:ascii="Corbel" w:hAnsi="Corbel"/>
                <w:bCs/>
                <w:sz w:val="24"/>
                <w:szCs w:val="24"/>
              </w:rPr>
              <w:t xml:space="preserve">obywateli </w:t>
            </w:r>
            <w:r w:rsidRPr="6B4971E2">
              <w:rPr>
                <w:rFonts w:ascii="Corbel" w:hAnsi="Corbel"/>
                <w:bCs/>
                <w:sz w:val="24"/>
                <w:szCs w:val="24"/>
              </w:rPr>
              <w:t>państw członkowskich UE</w:t>
            </w:r>
          </w:p>
        </w:tc>
      </w:tr>
      <w:tr w:rsidR="009A7D29" w14:paraId="65718AA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2FF7D5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MK_45</w:t>
            </w:r>
          </w:p>
        </w:tc>
      </w:tr>
      <w:tr w:rsidR="009A7D29" w14:paraId="5C0172E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7442753F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6B4971E2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60C3F661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4233DD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77F8599F" w:rsidR="009A7D29" w:rsidRPr="001A5082" w:rsidRDefault="00F93EEB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A7D29" w14:paraId="26EB6C12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6568CCFC" w:rsidR="009A7D29" w:rsidRDefault="00743609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15"/>
        <w:gridCol w:w="930"/>
        <w:gridCol w:w="915"/>
        <w:gridCol w:w="930"/>
        <w:gridCol w:w="795"/>
        <w:gridCol w:w="810"/>
        <w:gridCol w:w="735"/>
        <w:gridCol w:w="885"/>
        <w:gridCol w:w="984"/>
        <w:gridCol w:w="1548"/>
      </w:tblGrid>
      <w:tr w:rsidR="009A7D29" w14:paraId="4A00F406" w14:textId="77777777" w:rsidTr="6B4971E2"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6B4971E2">
        <w:trPr>
          <w:trHeight w:val="453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435CB36A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B4971E2">
              <w:rPr>
                <w:rFonts w:ascii="Corbel" w:hAnsi="Corbel"/>
                <w:sz w:val="24"/>
                <w:szCs w:val="24"/>
              </w:rPr>
              <w:t>30</w:t>
            </w:r>
            <w:r w:rsidR="00923988" w:rsidRPr="6B4971E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7B021301" w14:textId="77777777" w:rsidR="009A7D29" w:rsidRPr="001A5082" w:rsidRDefault="003C6F4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MS Gothic" w:eastAsia="MS Gothic" w:hAnsi="MS Gothic" w:cs="MS Gothic"/>
          <w:b w:val="0"/>
          <w:color w:val="000000"/>
          <w:szCs w:val="24"/>
        </w:rPr>
        <w:t xml:space="preserve"> 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48823D29" w:rsidR="009A7D29" w:rsidRDefault="009A7D29" w:rsidP="4DEAF2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DEAF224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4DEAF224">
        <w:rPr>
          <w:rFonts w:ascii="Corbel" w:hAnsi="Corbel"/>
          <w:smallCaps w:val="0"/>
          <w:color w:val="000000" w:themeColor="text1"/>
        </w:rPr>
        <w:t>Forma zaliczenia przedmiotu (z toku)</w:t>
      </w:r>
      <w:r w:rsidRPr="4DEAF224">
        <w:rPr>
          <w:rFonts w:ascii="Corbel" w:hAnsi="Corbel"/>
          <w:smallCaps w:val="0"/>
        </w:rPr>
        <w:t xml:space="preserve"> </w:t>
      </w:r>
      <w:r w:rsidRPr="4DEAF224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65B79D4" w:rsidR="00923988" w:rsidRPr="0008430F" w:rsidRDefault="00923988" w:rsidP="4DEAF224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4DEAF224">
        <w:rPr>
          <w:rFonts w:ascii="Corbel" w:eastAsia="Cambria" w:hAnsi="Corbel"/>
          <w:kern w:val="0"/>
          <w:sz w:val="24"/>
          <w:szCs w:val="24"/>
          <w:lang w:eastAsia="en-US"/>
        </w:rPr>
        <w:t>Ćwiczenia audytoryjne – kolokwium pisemne w formie testu</w:t>
      </w:r>
      <w:r w:rsidR="344F63E4" w:rsidRPr="4DEAF224">
        <w:rPr>
          <w:rFonts w:ascii="Corbel" w:eastAsia="Cambria" w:hAnsi="Corbel"/>
          <w:kern w:val="0"/>
          <w:sz w:val="24"/>
          <w:szCs w:val="24"/>
          <w:lang w:eastAsia="en-US"/>
        </w:rPr>
        <w:t xml:space="preserve">, </w:t>
      </w:r>
      <w:r w:rsidR="344F63E4" w:rsidRPr="4DEAF224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E1C64" w14:textId="7192FAEC" w:rsidR="6B4971E2" w:rsidRDefault="6B4971E2" w:rsidP="6B4971E2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1A5082" w:rsidRDefault="009A7D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6B4971E2">
        <w:rPr>
          <w:rFonts w:ascii="Corbel" w:hAnsi="Corbel"/>
          <w:color w:val="000000" w:themeColor="text1"/>
        </w:rPr>
        <w:t xml:space="preserve">2.Wymagania wstępne </w:t>
      </w:r>
    </w:p>
    <w:p w14:paraId="61467AEB" w14:textId="16B56B1D" w:rsidR="6B4971E2" w:rsidRDefault="6B4971E2" w:rsidP="6B4971E2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6B4971E2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4143A2FC" w:rsidR="009A7D29" w:rsidRDefault="00923988" w:rsidP="6B4971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00EE7247"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B030EE6" w:rsidR="009A7D29" w:rsidRPr="006C17C5" w:rsidRDefault="009A7D29" w:rsidP="6B4971E2">
      <w:pPr>
        <w:pStyle w:val="Punktygwne"/>
        <w:spacing w:before="0" w:after="0"/>
        <w:rPr>
          <w:rFonts w:ascii="Corbel" w:hAnsi="Corbel"/>
          <w:color w:val="000000"/>
        </w:rPr>
      </w:pPr>
      <w:r w:rsidRPr="6B4971E2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6C17C5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6C17C5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6C17C5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:rsidRPr="00CD5F8D" w14:paraId="4365730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D5F8D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79D55" w14:textId="77777777" w:rsidR="00923988" w:rsidRPr="00CD5F8D" w:rsidRDefault="00F37360" w:rsidP="00EE724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zasadami prawnymi regulującymi kształtowanie stosunków o charakterze dyplomatycznym lub konsularnym między państwami i innymi podmiotami prawa międzynarodowego, ze szczególnym uwzględnieniem Unii Europejskiej. </w:t>
            </w:r>
          </w:p>
        </w:tc>
      </w:tr>
      <w:tr w:rsidR="009A7D29" w:rsidRPr="00CD5F8D" w14:paraId="25D0CBE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D5F8D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A002" w14:textId="77777777" w:rsidR="009A7D29" w:rsidRPr="00CD5F8D" w:rsidRDefault="00EE7247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mechanizmów działania misji dyplomatycznych i urzędów konsularnych oraz poznanie ich roli w ochronie interesów obywateli państw członkowskich Unii Europejskiej.</w:t>
            </w:r>
          </w:p>
        </w:tc>
      </w:tr>
    </w:tbl>
    <w:p w14:paraId="4101652C" w14:textId="77777777" w:rsidR="00ED75C8" w:rsidRPr="00CD5F8D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CD5F8D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CD5F8D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CD5F8D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5076476F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F82F" w14:textId="7EE7F41A" w:rsidR="009A7D29" w:rsidRPr="00CD5F8D" w:rsidRDefault="005931DE" w:rsidP="4DEAF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00EE7247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0AC1E479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EE7247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prawem dyplomatycznym i konsularnym. Potrafi omówić zasady kształtowania i utrzymywania stosunków dyplomatycznych oraz konsularnych.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FB25131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C5B2A44" w14:textId="77777777" w:rsidR="00FE4C4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A7D29" w14:paraId="6D3A44CB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93751E" w14:textId="77777777" w:rsidR="009A7D29" w:rsidRPr="00CD5F8D" w:rsidRDefault="005931DE" w:rsidP="009667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funkcji dyplomatycznych oraz funkcji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konsularnych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BF0ACE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931DE" w14:paraId="35E5D6E9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247658" w14:textId="77777777" w:rsidR="005931DE" w:rsidRPr="00CD5F8D" w:rsidRDefault="005931DE" w:rsidP="00FE4C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międzynarodowego prawa dyplomatycznego oraz konsularnego, w kontekście obywatelstwa Unii Europejskiej.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5931DE" w14:paraId="3ADC660D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4ABC37" w14:textId="20499BE8" w:rsidR="005931DE" w:rsidRPr="00CD5F8D" w:rsidRDefault="005931DE" w:rsidP="4DEAF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świadomość istnienia </w:t>
            </w:r>
            <w:r w:rsidR="0096674A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praw, wynikających z</w:t>
            </w:r>
            <w:r w:rsidR="7C6BE19D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6674A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obywatelstwa Unii Europejskiej.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E4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  <w:p w14:paraId="5B2AA153" w14:textId="77777777" w:rsidR="00FE4C42" w:rsidRPr="001A508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K_K03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B4971E2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6B4971E2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6B4971E2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7E89737D" w:rsidR="009A7D29" w:rsidRDefault="4D0A140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B4971E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B4971E2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72FE58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8AADF" w14:textId="77777777" w:rsidR="009A7D29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="00356347" w:rsidRPr="00CD5F8D">
              <w:rPr>
                <w:rFonts w:ascii="Corbel" w:hAnsi="Corbel"/>
                <w:color w:val="000000"/>
                <w:sz w:val="24"/>
                <w:szCs w:val="24"/>
              </w:rPr>
              <w:t>Pojęcie dyplomaty, dyplomacji. Rangi, klasy, tytuły szefów misji dyplomatycznej oraz członków misji dyplomatycznej. Korpus dyplomatyczny.</w:t>
            </w:r>
          </w:p>
        </w:tc>
      </w:tr>
      <w:tr w:rsidR="009A7D29" w14:paraId="11C228F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24D7" w14:textId="77777777" w:rsidR="009A7D29" w:rsidRPr="00CD5F8D" w:rsidRDefault="007C23C0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2. Zasady kształtowania i utrzymywania stosunków dyplomatycznych.</w:t>
            </w:r>
          </w:p>
        </w:tc>
      </w:tr>
      <w:tr w:rsidR="009A7D29" w14:paraId="61C3A12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8890C" w14:textId="77777777" w:rsidR="009A7D29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Pojęcie konsulatu, konsula oraz konsula honorowego.</w:t>
            </w:r>
          </w:p>
        </w:tc>
      </w:tr>
      <w:tr w:rsidR="009D653A" w14:paraId="5D425A7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0518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4.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Zasady kształtowania i utrzymywania stosunków konsularnych.</w:t>
            </w:r>
          </w:p>
        </w:tc>
      </w:tr>
      <w:tr w:rsidR="009D653A" w14:paraId="30B41A9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E92E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5.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Charakterystyka funkcji dyplomatycznych konsularnych.</w:t>
            </w:r>
          </w:p>
        </w:tc>
      </w:tr>
      <w:tr w:rsidR="009D653A" w14:paraId="6BEC292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50A4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6.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Przywileje i immunitety dyplomatyczne i konsularne.</w:t>
            </w:r>
          </w:p>
        </w:tc>
      </w:tr>
      <w:tr w:rsidR="009D653A" w14:paraId="7549506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69265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7.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Obywatelstwo Unii Europejskiej.</w:t>
            </w:r>
          </w:p>
        </w:tc>
      </w:tr>
      <w:tr w:rsidR="009D653A" w14:paraId="203DBBB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70852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8. </w:t>
            </w:r>
            <w:r w:rsidR="00470284" w:rsidRPr="00CD5F8D">
              <w:rPr>
                <w:rFonts w:ascii="Corbel" w:hAnsi="Corbel"/>
                <w:color w:val="000000"/>
                <w:sz w:val="24"/>
                <w:szCs w:val="24"/>
              </w:rPr>
              <w:t>D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okumenty podróży.</w:t>
            </w:r>
          </w:p>
        </w:tc>
      </w:tr>
      <w:tr w:rsidR="009D653A" w14:paraId="1931BAC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70FC8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9.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Europejska ochrona konsularna.</w:t>
            </w:r>
          </w:p>
        </w:tc>
      </w:tr>
      <w:tr w:rsidR="009D653A" w14:paraId="5E201BA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B45AB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10. </w:t>
            </w:r>
            <w:r w:rsidR="00470284" w:rsidRPr="00CD5F8D">
              <w:rPr>
                <w:rFonts w:ascii="Corbel" w:hAnsi="Corbel"/>
                <w:color w:val="000000"/>
                <w:sz w:val="24"/>
                <w:szCs w:val="24"/>
              </w:rPr>
              <w:t>Wyzwania opieki dyplomatycznej i ochrony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 konsularnej obywateli</w:t>
            </w:r>
            <w:r w:rsidR="007C23C0" w:rsidRPr="00CD5F8D">
              <w:rPr>
                <w:rFonts w:ascii="Corbel" w:hAnsi="Corbel"/>
                <w:b/>
                <w:color w:val="000000"/>
                <w:sz w:val="24"/>
                <w:szCs w:val="24"/>
              </w:rPr>
              <w:t xml:space="preserve">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państw członkowskich UE.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07547A01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459315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6B4971E2">
              <w:rPr>
                <w:color w:val="000000" w:themeColor="text1"/>
                <w:sz w:val="24"/>
                <w:szCs w:val="24"/>
              </w:rPr>
              <w:t>z</w:t>
            </w:r>
            <w:r w:rsidRPr="6B4971E2">
              <w:rPr>
                <w:color w:val="000000" w:themeColor="text1"/>
              </w:rPr>
              <w:t> </w:t>
            </w:r>
            <w:r w:rsidRPr="6B4971E2">
              <w:rPr>
                <w:color w:val="000000" w:themeColor="text1"/>
                <w:sz w:val="24"/>
                <w:szCs w:val="24"/>
              </w:rPr>
              <w:t>harmonogramu</w:t>
            </w:r>
            <w:r w:rsidRPr="6B4971E2">
              <w:rPr>
                <w:rFonts w:ascii="Corbel" w:hAnsi="Corbel"/>
                <w:color w:val="000000" w:themeColor="text1"/>
                <w:sz w:val="28"/>
                <w:szCs w:val="28"/>
              </w:rPr>
              <w:t xml:space="preserve"> </w:t>
            </w: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15E6E58A" w:rsidR="009A7D29" w:rsidRPr="00CD5F8D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6B5ED7AF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5D12DD7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40FEB772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  <w:r w:rsidR="00D63DAC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0BBFD4F2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CD5F8D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6537F28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6B4971E2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9E56" w14:textId="699C9FBC" w:rsidR="009A7D29" w:rsidRPr="001A5082" w:rsidRDefault="13AAA7F0" w:rsidP="6B497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6B4971E2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1D3DE3" w14:textId="699C9FBC" w:rsidR="009A7D29" w:rsidRPr="001A5082" w:rsidRDefault="0823DAB7" w:rsidP="6B497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44E871BC" w14:textId="7C774E98" w:rsidR="009A7D29" w:rsidRPr="001A5082" w:rsidRDefault="009A7D29" w:rsidP="6B4971E2">
            <w:pPr>
              <w:pStyle w:val="Punktygwne"/>
              <w:spacing w:before="0" w:after="0"/>
              <w:rPr>
                <w:bCs/>
                <w:smallCaps w:val="0"/>
                <w:color w:val="000000"/>
                <w:szCs w:val="24"/>
              </w:rPr>
            </w:pPr>
          </w:p>
        </w:tc>
      </w:tr>
    </w:tbl>
    <w:p w14:paraId="144A5D23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D5F8D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D5F8D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38610EB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08430F" w14:paraId="56739670" w14:textId="77777777" w:rsidTr="78D37956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08430F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08430F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08430F">
              <w:rPr>
                <w:rFonts w:ascii="Corbel" w:hAnsi="Corbel"/>
                <w:b/>
                <w:smallCaps/>
              </w:rPr>
              <w:t xml:space="preserve"> </w:t>
            </w:r>
          </w:p>
          <w:p w14:paraId="2EAFA639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1. </w:t>
            </w:r>
            <w:r w:rsidR="007C23C0" w:rsidRPr="0008430F">
              <w:rPr>
                <w:rFonts w:ascii="Corbel" w:hAnsi="Corbel" w:cs="Tahoma"/>
                <w:color w:val="000000"/>
                <w:szCs w:val="20"/>
              </w:rPr>
              <w:t>J. Sutor, Prawo dyplomatyczne i konsularne, Warszawa</w:t>
            </w:r>
            <w:r w:rsidR="003B5386" w:rsidRPr="0008430F">
              <w:rPr>
                <w:rFonts w:ascii="Corbel" w:hAnsi="Corbel" w:cs="Tahoma"/>
                <w:color w:val="000000"/>
                <w:szCs w:val="20"/>
              </w:rPr>
              <w:t xml:space="preserve"> 2012;</w:t>
            </w:r>
          </w:p>
          <w:p w14:paraId="66B747CA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2. P. Czubik, Prawo dostępu do konsula, Kraków 2011;</w:t>
            </w:r>
          </w:p>
          <w:p w14:paraId="39D12E7D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3. P. Czubik, W, Burek, Wybrane zagadnienia współczesnego prawa konsularnego, Kraków 2014;</w:t>
            </w:r>
          </w:p>
          <w:p w14:paraId="73EA978B" w14:textId="77777777" w:rsidR="00EC3622" w:rsidRPr="0008430F" w:rsidRDefault="003B5386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EC3622" w:rsidRPr="0008430F">
              <w:rPr>
                <w:rFonts w:ascii="Corbel" w:hAnsi="Corbel" w:cs="Tahoma"/>
                <w:color w:val="000000"/>
                <w:szCs w:val="20"/>
              </w:rPr>
              <w:t>S. Grochalski, Status prawny obywatela Unii Euro</w:t>
            </w:r>
            <w:r w:rsidRPr="0008430F">
              <w:rPr>
                <w:rFonts w:ascii="Corbel" w:hAnsi="Corbel" w:cs="Tahoma"/>
                <w:color w:val="000000"/>
                <w:szCs w:val="20"/>
              </w:rPr>
              <w:t>pejskiej, Dąbrowa Górnicza 2011;</w:t>
            </w:r>
          </w:p>
        </w:tc>
      </w:tr>
      <w:tr w:rsidR="009A7D29" w:rsidRPr="0008430F" w14:paraId="34530765" w14:textId="77777777" w:rsidTr="78D37956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08430F" w:rsidRDefault="009A7D29" w:rsidP="78D3795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8D3795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B725AC5" w14:textId="4E2462A5" w:rsidR="78D37956" w:rsidRDefault="78D37956" w:rsidP="78D3795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51372A09" w14:textId="77777777" w:rsidR="003B5386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1. </w:t>
            </w:r>
            <w:r w:rsidR="00EC3622" w:rsidRPr="0008430F">
              <w:rPr>
                <w:rFonts w:ascii="Corbel" w:hAnsi="Corbel" w:cs="Tahoma"/>
                <w:szCs w:val="20"/>
              </w:rPr>
              <w:t>S. E. Nahlik, Narodziny nowożytnej dyplomacji, Wrocław 1971;</w:t>
            </w:r>
          </w:p>
          <w:p w14:paraId="5000906D" w14:textId="77777777" w:rsidR="001737A8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2. </w:t>
            </w:r>
            <w:r w:rsidR="00EC3622" w:rsidRPr="0008430F">
              <w:rPr>
                <w:rFonts w:ascii="Corbel" w:hAnsi="Corbel" w:cs="Tahoma"/>
                <w:szCs w:val="20"/>
              </w:rPr>
              <w:t>A. Przyborowska-Klimczak, W. Staszewski, Prawo dyplomatyczne i konsularne. Wybór dokumentów, Lublin 2005;</w:t>
            </w:r>
          </w:p>
          <w:p w14:paraId="64744DC9" w14:textId="77777777" w:rsidR="00EC3622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3. </w:t>
            </w:r>
            <w:r w:rsidR="00EC3622" w:rsidRPr="0008430F">
              <w:rPr>
                <w:rFonts w:ascii="Corbel" w:hAnsi="Corbel" w:cs="Tahoma"/>
                <w:szCs w:val="20"/>
              </w:rPr>
              <w:t>S. Sawicki, Prawo konsularne. Studium praw</w:t>
            </w:r>
            <w:r w:rsidRPr="0008430F">
              <w:rPr>
                <w:rFonts w:ascii="Corbel" w:hAnsi="Corbel" w:cs="Tahoma"/>
                <w:szCs w:val="20"/>
              </w:rPr>
              <w:t>nomiędzynarodowe, Warszawa 2003;</w:t>
            </w:r>
          </w:p>
        </w:tc>
      </w:tr>
    </w:tbl>
    <w:p w14:paraId="637805D2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E883" w14:textId="77777777" w:rsidR="00BB17F9" w:rsidRDefault="00BB17F9">
      <w:pPr>
        <w:spacing w:after="0" w:line="240" w:lineRule="auto"/>
      </w:pPr>
      <w:r>
        <w:separator/>
      </w:r>
    </w:p>
  </w:endnote>
  <w:endnote w:type="continuationSeparator" w:id="0">
    <w:p w14:paraId="3A8994C9" w14:textId="77777777" w:rsidR="00BB17F9" w:rsidRDefault="00BB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F4A6" w14:textId="77777777" w:rsidR="00BB17F9" w:rsidRDefault="00BB17F9">
      <w:pPr>
        <w:spacing w:after="0" w:line="240" w:lineRule="auto"/>
      </w:pPr>
      <w:r>
        <w:separator/>
      </w:r>
    </w:p>
  </w:footnote>
  <w:footnote w:type="continuationSeparator" w:id="0">
    <w:p w14:paraId="26D8BA10" w14:textId="77777777" w:rsidR="00BB17F9" w:rsidRDefault="00BB17F9">
      <w:pPr>
        <w:spacing w:after="0" w:line="240" w:lineRule="auto"/>
      </w:pPr>
      <w:r>
        <w:continuationSeparator/>
      </w:r>
    </w:p>
  </w:footnote>
  <w:footnote w:id="1">
    <w:p w14:paraId="0574AFC1" w14:textId="1E4CDF26" w:rsidR="00762DE8" w:rsidRDefault="009A7D29" w:rsidP="0045726D">
      <w:r w:rsidRPr="0045726D">
        <w:rPr>
          <w:rStyle w:val="Znakiprzypiswdolnych"/>
          <w:rFonts w:ascii="Times New Roman" w:hAnsi="Times New Roman"/>
          <w:vertAlign w:val="superscript"/>
        </w:rPr>
        <w:footnoteRef/>
      </w:r>
      <w:r w:rsidR="0045726D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17AD93B2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07590233">
    <w:abstractNumId w:val="0"/>
  </w:num>
  <w:num w:numId="2" w16cid:durableId="606425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8430F"/>
    <w:rsid w:val="001737A8"/>
    <w:rsid w:val="001A5082"/>
    <w:rsid w:val="002E220C"/>
    <w:rsid w:val="00356347"/>
    <w:rsid w:val="003B5386"/>
    <w:rsid w:val="003C6F48"/>
    <w:rsid w:val="004233DD"/>
    <w:rsid w:val="0045726D"/>
    <w:rsid w:val="00470284"/>
    <w:rsid w:val="00523731"/>
    <w:rsid w:val="005931DE"/>
    <w:rsid w:val="006C17C5"/>
    <w:rsid w:val="007018DD"/>
    <w:rsid w:val="00743609"/>
    <w:rsid w:val="00762DE8"/>
    <w:rsid w:val="007C23C0"/>
    <w:rsid w:val="00822297"/>
    <w:rsid w:val="00847881"/>
    <w:rsid w:val="008B55B4"/>
    <w:rsid w:val="00923988"/>
    <w:rsid w:val="0096674A"/>
    <w:rsid w:val="00982BBA"/>
    <w:rsid w:val="009A7D29"/>
    <w:rsid w:val="009D3974"/>
    <w:rsid w:val="009D653A"/>
    <w:rsid w:val="00B700A2"/>
    <w:rsid w:val="00BB17F9"/>
    <w:rsid w:val="00C34780"/>
    <w:rsid w:val="00CD5F8D"/>
    <w:rsid w:val="00D5158C"/>
    <w:rsid w:val="00D63DAC"/>
    <w:rsid w:val="00EA5065"/>
    <w:rsid w:val="00EB4D95"/>
    <w:rsid w:val="00EB5440"/>
    <w:rsid w:val="00EC3622"/>
    <w:rsid w:val="00ED75C8"/>
    <w:rsid w:val="00EE7247"/>
    <w:rsid w:val="00F37360"/>
    <w:rsid w:val="00F62D6C"/>
    <w:rsid w:val="00F93EEB"/>
    <w:rsid w:val="00FE4C42"/>
    <w:rsid w:val="04BC6198"/>
    <w:rsid w:val="0823DAB7"/>
    <w:rsid w:val="0AC1E479"/>
    <w:rsid w:val="13AAA7F0"/>
    <w:rsid w:val="2B698BDA"/>
    <w:rsid w:val="344F63E4"/>
    <w:rsid w:val="3C376E39"/>
    <w:rsid w:val="4D0A140D"/>
    <w:rsid w:val="4DEAF224"/>
    <w:rsid w:val="4EDD2557"/>
    <w:rsid w:val="52ECCAAD"/>
    <w:rsid w:val="5884C11E"/>
    <w:rsid w:val="6B4971E2"/>
    <w:rsid w:val="7602697C"/>
    <w:rsid w:val="78D37956"/>
    <w:rsid w:val="7C6BE19D"/>
    <w:rsid w:val="7F38F580"/>
    <w:rsid w:val="7FB8A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560C01"/>
  <w15:chartTrackingRefBased/>
  <w15:docId w15:val="{A8CB3B55-D5C2-41F7-A4AF-6E48B528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865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11</cp:revision>
  <cp:lastPrinted>2019-02-06T20:12:00Z</cp:lastPrinted>
  <dcterms:created xsi:type="dcterms:W3CDTF">2021-12-15T14:04:00Z</dcterms:created>
  <dcterms:modified xsi:type="dcterms:W3CDTF">2024-01-17T07:31:00Z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